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2C" w:rsidRPr="00CC1C9F" w:rsidRDefault="003F582C" w:rsidP="003F582C">
      <w:pPr>
        <w:ind w:left="4253"/>
        <w:jc w:val="both"/>
        <w:rPr>
          <w:rFonts w:ascii="Arial" w:hAnsi="Arial" w:cs="Arial"/>
          <w:b/>
          <w:sz w:val="24"/>
          <w:szCs w:val="24"/>
        </w:rPr>
      </w:pPr>
      <w:r w:rsidRPr="00CC1C9F">
        <w:rPr>
          <w:rFonts w:ascii="Arial" w:hAnsi="Arial" w:cs="Arial"/>
          <w:b/>
          <w:sz w:val="24"/>
          <w:szCs w:val="24"/>
        </w:rPr>
        <w:t>O PREFEITO MUNICIPAL DE PETRÓPOLIS, no uso da</w:t>
      </w:r>
      <w:r>
        <w:rPr>
          <w:rFonts w:ascii="Arial" w:hAnsi="Arial" w:cs="Arial"/>
          <w:b/>
          <w:sz w:val="24"/>
          <w:szCs w:val="24"/>
        </w:rPr>
        <w:t>s</w:t>
      </w:r>
      <w:r w:rsidRPr="00CC1C9F">
        <w:rPr>
          <w:rFonts w:ascii="Arial" w:hAnsi="Arial" w:cs="Arial"/>
          <w:b/>
          <w:sz w:val="24"/>
          <w:szCs w:val="24"/>
        </w:rPr>
        <w:t xml:space="preserve"> atribuiç</w:t>
      </w:r>
      <w:r>
        <w:rPr>
          <w:rFonts w:ascii="Arial" w:hAnsi="Arial" w:cs="Arial"/>
          <w:b/>
          <w:sz w:val="24"/>
          <w:szCs w:val="24"/>
        </w:rPr>
        <w:t>ões legais</w:t>
      </w:r>
      <w:r w:rsidRPr="00CC1C9F">
        <w:rPr>
          <w:rFonts w:ascii="Arial" w:hAnsi="Arial" w:cs="Arial"/>
          <w:b/>
          <w:sz w:val="24"/>
          <w:szCs w:val="24"/>
        </w:rPr>
        <w:t xml:space="preserve"> e</w:t>
      </w:r>
      <w:r>
        <w:rPr>
          <w:rFonts w:ascii="Arial" w:hAnsi="Arial" w:cs="Arial"/>
          <w:b/>
          <w:sz w:val="24"/>
          <w:szCs w:val="24"/>
        </w:rPr>
        <w:t>,</w:t>
      </w:r>
      <w:r w:rsidRPr="00CC1C9F">
        <w:rPr>
          <w:rFonts w:ascii="Arial" w:hAnsi="Arial" w:cs="Arial"/>
          <w:b/>
          <w:sz w:val="24"/>
          <w:szCs w:val="24"/>
        </w:rPr>
        <w:t xml:space="preserve"> tendo em vista o disposto no Art. 6º da Lei nº </w:t>
      </w:r>
      <w:r>
        <w:rPr>
          <w:rFonts w:ascii="Arial" w:hAnsi="Arial" w:cs="Arial"/>
          <w:b/>
          <w:sz w:val="24"/>
          <w:szCs w:val="24"/>
        </w:rPr>
        <w:t xml:space="preserve">7167 </w:t>
      </w:r>
      <w:r w:rsidRPr="00CC1C9F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28</w:t>
      </w:r>
      <w:r w:rsidRPr="00CC1C9F">
        <w:rPr>
          <w:rFonts w:ascii="Arial" w:hAnsi="Arial" w:cs="Arial"/>
          <w:b/>
          <w:sz w:val="24"/>
          <w:szCs w:val="24"/>
        </w:rPr>
        <w:t xml:space="preserve"> de março de 2014</w:t>
      </w:r>
    </w:p>
    <w:p w:rsidR="003F582C" w:rsidRPr="00CC1C9F" w:rsidRDefault="003F582C" w:rsidP="003F582C">
      <w:pPr>
        <w:ind w:left="4253"/>
        <w:jc w:val="both"/>
        <w:rPr>
          <w:rFonts w:ascii="Arial" w:hAnsi="Arial" w:cs="Arial"/>
          <w:b/>
          <w:sz w:val="24"/>
          <w:szCs w:val="24"/>
        </w:rPr>
      </w:pPr>
    </w:p>
    <w:p w:rsidR="003F582C" w:rsidRPr="00CC1C9F" w:rsidRDefault="003F582C" w:rsidP="003F582C">
      <w:pPr>
        <w:jc w:val="center"/>
        <w:rPr>
          <w:rFonts w:ascii="Arial" w:hAnsi="Arial" w:cs="Arial"/>
          <w:b/>
          <w:sz w:val="24"/>
          <w:szCs w:val="24"/>
        </w:rPr>
      </w:pPr>
      <w:r w:rsidRPr="00CC1C9F">
        <w:rPr>
          <w:rFonts w:ascii="Arial" w:hAnsi="Arial" w:cs="Arial"/>
          <w:b/>
          <w:sz w:val="24"/>
          <w:szCs w:val="24"/>
        </w:rPr>
        <w:t>DECRETA</w:t>
      </w:r>
    </w:p>
    <w:p w:rsidR="003F582C" w:rsidRPr="00CC1C9F" w:rsidRDefault="003F582C" w:rsidP="003F582C">
      <w:pPr>
        <w:jc w:val="center"/>
        <w:rPr>
          <w:rFonts w:ascii="Arial" w:hAnsi="Arial" w:cs="Arial"/>
          <w:b/>
          <w:sz w:val="24"/>
          <w:szCs w:val="24"/>
        </w:rPr>
      </w:pP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Art. 1º Fica instituído, no âmbito da Secretaria de Planejamento e Desenvolvimento econômico – SPDE, o Banco de Dados Gerenciais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– BDGG,   com os seguintes objetivos: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 - promover o adequado ordenamento na geração, no armazenamento, no acesso, no compartilhamento, na disseminação e no uso dos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municipais, distrital, setorial e por unidade operacional de ponta, em apoio às atividades de planejamento, acompanhamento e controle da gestão municipal;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II - promover a utilização e a produção dos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pelos órgãos setoriais e da administração indireta, bem como das concessionárias de serviços e demais órgãos Federais e Estaduais atuantes no território municipal;  e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III - evitar a duplicidade de ações e o desperdício de recursos na obtenção de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pelos órgãos da administração pública, em geral, e das concessionárias de serviços, por meio da divulgação e acesso ao BDGG, mediante acordos específicos.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§ 1º Para o </w:t>
      </w:r>
      <w:proofErr w:type="spellStart"/>
      <w:r w:rsidRPr="00CC1C9F">
        <w:rPr>
          <w:rFonts w:ascii="Arial" w:hAnsi="Arial" w:cs="Arial"/>
          <w:sz w:val="24"/>
          <w:szCs w:val="24"/>
        </w:rPr>
        <w:t>atingimento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dos objetivos dispostos neste artigo, será implantado, no âmbito da SPDE um Núcleo Gestor, responsável pela sua administração, alimentação e atualização permanente, bem como pela elaboração de um Regimento Interno que orientará a participação dos diversos órgãos e setores que o integrarão.</w:t>
      </w:r>
    </w:p>
    <w:p w:rsidR="003F582C" w:rsidRPr="00CC1C9F" w:rsidRDefault="003F582C" w:rsidP="003F582C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rStyle w:val="apple-converted-space"/>
          <w:rFonts w:ascii="Arial" w:hAnsi="Arial" w:cs="Arial"/>
        </w:rPr>
      </w:pP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Art. 2º Para os fins deste Decreto, entende-se por: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 I - </w:t>
      </w:r>
      <w:r w:rsidRPr="00CC1C9F">
        <w:rPr>
          <w:rFonts w:ascii="Arial" w:hAnsi="Arial" w:cs="Arial"/>
          <w:sz w:val="24"/>
          <w:szCs w:val="24"/>
          <w:u w:val="single"/>
        </w:rPr>
        <w:t xml:space="preserve">dado ou informação </w:t>
      </w:r>
      <w:proofErr w:type="spellStart"/>
      <w:r w:rsidRPr="00CC1C9F">
        <w:rPr>
          <w:rFonts w:ascii="Arial" w:hAnsi="Arial" w:cs="Arial"/>
          <w:sz w:val="24"/>
          <w:szCs w:val="24"/>
          <w:u w:val="single"/>
        </w:rPr>
        <w:t>geoereferenciadas</w:t>
      </w:r>
      <w:proofErr w:type="spellEnd"/>
      <w:r w:rsidRPr="00CC1C9F">
        <w:rPr>
          <w:rFonts w:ascii="Arial" w:hAnsi="Arial" w:cs="Arial"/>
          <w:sz w:val="24"/>
          <w:szCs w:val="24"/>
        </w:rPr>
        <w:t>: aqueles que se distinguem essencialmente pela articulação de dados e informações com o componente espacial associado, observado um mesmo sistema geodésico de referência, sobre plantas ou imagens em escala e precisão adequadas;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II - </w:t>
      </w:r>
      <w:r w:rsidRPr="00CC1C9F">
        <w:rPr>
          <w:rFonts w:ascii="Arial" w:hAnsi="Arial" w:cs="Arial"/>
          <w:sz w:val="24"/>
          <w:szCs w:val="24"/>
          <w:u w:val="single"/>
        </w:rPr>
        <w:t>Infra-Estrutura</w:t>
      </w:r>
      <w:r w:rsidRPr="00CC1C9F">
        <w:rPr>
          <w:rFonts w:ascii="Arial" w:hAnsi="Arial" w:cs="Arial"/>
          <w:sz w:val="24"/>
          <w:szCs w:val="24"/>
        </w:rPr>
        <w:t xml:space="preserve">: conjunto integrado de tecnologias; políticas; mecanismos e procedimentos de coordenação e monitoramento; padrões e acordos, necessário para facilitar e ordenar a geração, o armazenamento, o acesso, o compartilhamento, a disseminação e o uso dos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selecionados;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lastRenderedPageBreak/>
        <w:t xml:space="preserve">IV – </w:t>
      </w:r>
      <w:r w:rsidRPr="00CC1C9F">
        <w:rPr>
          <w:rFonts w:ascii="Arial" w:hAnsi="Arial" w:cs="Arial"/>
          <w:sz w:val="24"/>
          <w:szCs w:val="24"/>
          <w:u w:val="single"/>
        </w:rPr>
        <w:t>Integrantes</w:t>
      </w:r>
      <w:r w:rsidRPr="00CC1C9F">
        <w:rPr>
          <w:rFonts w:ascii="Arial" w:hAnsi="Arial" w:cs="Arial"/>
          <w:sz w:val="24"/>
          <w:szCs w:val="24"/>
        </w:rPr>
        <w:t xml:space="preserve">: sistema de servidores de dados, capaz de reunir eletronicamente produtores, gestores e usuários de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, com vistas ao armazenamento, compartilhamento e acesso a esses dados e aos serviços relacionados. </w:t>
      </w:r>
      <w:r w:rsidRPr="00CC1C9F">
        <w:rPr>
          <w:rFonts w:ascii="Arial" w:hAnsi="Arial" w:cs="Arial"/>
          <w:sz w:val="24"/>
          <w:szCs w:val="24"/>
        </w:rPr>
        <w:cr/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§ 1º Os dados estatísticos do IBGE podem, a critério do Núcleo Gestor, serem considerados como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, desde que estejam de acordo com a definição do inciso I do caput.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§ 2º Serão considerados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oficiais, passiveis de serem introduzidos no BDGG,  aqueles homologados pelo Núcleo Gestor, por iniciativa própria ou por acatamento de sugestão  dos demais Integrantes, conforme definição do inciso I do caput.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Art. 3º O compartilhamento e disseminação dos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é obrigatório para todos os órgãos e entidades do Poder Executivo Municipal e da Administração Indireta Municipal e voluntário para os órgãos e entidades dos demais Integrantes públicos ou privados.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§ 1º 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disponibilizados no BDGG pelos órgãos e entidades Integrantes devem ser acessados, por meio de intranet ou web, conforme as possibilidades logísticas e espaciais.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Art. 4º Os órgãos e entidades do Poder Executivo Municipal deverão: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 I - na produção, direta ou indireta, ou na aquisição dos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, obedecer aos padrões estabelecidos no Regimento Interno do BDGG; e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II - consultar o Núcleo Gestor antes de iniciar a execução de novos projetos para a produção de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, visando a eliminar a duplicidade de esforços e recursos.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Art. 5º Compete ao Núcleo Gestor: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 – em articulação com a Secretaria de Ciência e Tecnologia, construir, disponibilizar e operar o BDGG, em conformidade com o seu plano de implantação, a ser elaborado num prazo de 120 dias, a partir da publicação do presente Decreto;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II - exercer a função de gestor do BDGG, buscando incorporar-lhe novas funcionalidades, de acordo com entendimentos com os demais Integrantes;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III - divulgar os procedimentos para acesso eletrônico aos repositórios de dados e para utilização dos serviços correspondentes;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IV - observar eventuais restrições impostas à publicação e acesso aos dados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georeferenciados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definidas pelos órgãos produtores, segundo o critério de alçadas;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VI - apresentar as propostas dos recursos materiais, humanos e financeiros necessários para a implantação e manutenção anual do BDGG.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lastRenderedPageBreak/>
        <w:t>Art. 6º Para administração estratégica do BDGG, será criado um Conselho de Administração, com as seguintes atribuições: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 I - estabelecer os procedimentos para a avaliação dos novos projetos de que trata o inciso II do art. 4º;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II - homologar os padrões para alimentação e operação do BDGG e as suas normas cartográficas ou de imagens;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III - propor o desenvolvimento de soluções em código aberto e de livre distribuição para atender às demandas do ambiente de servidores distribuídos em rede, utilizando o conhecimento existente, segundo um critério de alçadas, em segmentos especializados da sociedade, como universidades, centros de pesquisas do Município, empresas concessionárias,</w:t>
      </w:r>
      <w:proofErr w:type="gramStart"/>
      <w:r w:rsidRPr="00CC1C9F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C1C9F">
        <w:rPr>
          <w:rFonts w:ascii="Arial" w:hAnsi="Arial" w:cs="Arial"/>
          <w:sz w:val="24"/>
          <w:szCs w:val="24"/>
        </w:rPr>
        <w:t xml:space="preserve">estatais ou privadas, e organizações profissionais;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IV - supervisionar a implantação do BDGG de acordo com o plano de ação para implantação, de que trata os incisos I e VI do Art. 5º;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V – acompanhar as atividades desempenhadas pelo BDGG,  previstas, no art. 5º; e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VI – O Plano de Implantação, mencionado no Art. 5º, inciso I, para atender ao estabelecido neste Decreto, deverá atender, entre outros, aos seguintes aspectos: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a) cronograma físico e financeiro de implantação das estruturas física e virtual do BDGG;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b) prazo para a Conselho de Administração Estratégica aprovar o Plano de Implantação;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c) prazo para os órgãos e entidades do Poder Executivo Municipal disponibilizarem dados e informações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georeferenciadas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 para o BDGG e para o respectivo armazenamento, no servidor do sistema de sua responsabilidade; 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d) prazo para início da divulgação dos dados e informações </w:t>
      </w:r>
      <w:proofErr w:type="spellStart"/>
      <w:r w:rsidRPr="00CC1C9F">
        <w:rPr>
          <w:rFonts w:ascii="Arial" w:hAnsi="Arial" w:cs="Arial"/>
          <w:sz w:val="24"/>
          <w:szCs w:val="24"/>
        </w:rPr>
        <w:t>georeferenciadas</w:t>
      </w:r>
      <w:proofErr w:type="spellEnd"/>
      <w:r w:rsidRPr="00CC1C9F">
        <w:rPr>
          <w:rFonts w:ascii="Arial" w:hAnsi="Arial" w:cs="Arial"/>
          <w:sz w:val="24"/>
          <w:szCs w:val="24"/>
        </w:rPr>
        <w:t xml:space="preserve">, na intranet e na web; 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e) regras para disponibilização na web, dos dados e informações públicas;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f) recursos financeiros necessários para a implantação do BDGG, incluindo as necessidades capacitação de recursos humanos e promoção de parcerias.</w:t>
      </w:r>
    </w:p>
    <w:p w:rsidR="003F582C" w:rsidRPr="00CC1C9F" w:rsidRDefault="003F582C" w:rsidP="003F582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§ 1º - O Conselho de Administração terá a seguinte composição: </w:t>
      </w:r>
      <w:r w:rsidRPr="00CC1C9F">
        <w:rPr>
          <w:rFonts w:ascii="Arial" w:hAnsi="Arial" w:cs="Arial"/>
          <w:color w:val="FF0000"/>
          <w:sz w:val="24"/>
          <w:szCs w:val="24"/>
        </w:rPr>
        <w:t>definir com o Secretário.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 xml:space="preserve">Art. 7º Caberá à Secretaria de Planejamento e Desenvolvimento Econômico promover, junto às concessionárias, órgãos da administração indireta e de outros níveis de governo, as ações voltadas à celebração de acordos e cooperações, visando </w:t>
      </w:r>
      <w:proofErr w:type="gramStart"/>
      <w:r w:rsidRPr="00CC1C9F">
        <w:rPr>
          <w:rFonts w:ascii="Arial" w:hAnsi="Arial" w:cs="Arial"/>
          <w:sz w:val="24"/>
          <w:szCs w:val="24"/>
        </w:rPr>
        <w:t>a</w:t>
      </w:r>
      <w:proofErr w:type="gramEnd"/>
      <w:r w:rsidRPr="00CC1C9F">
        <w:rPr>
          <w:rFonts w:ascii="Arial" w:hAnsi="Arial" w:cs="Arial"/>
          <w:sz w:val="24"/>
          <w:szCs w:val="24"/>
        </w:rPr>
        <w:t xml:space="preserve"> participação como Integrantes do BDGG. </w:t>
      </w:r>
    </w:p>
    <w:p w:rsidR="003F582C" w:rsidRDefault="003F582C" w:rsidP="003F58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lastRenderedPageBreak/>
        <w:t>Art. 8º Este Decreto entra em vigor na data de sua publicação.</w:t>
      </w: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</w:p>
    <w:p w:rsidR="003F582C" w:rsidRPr="00CC1C9F" w:rsidRDefault="003F582C" w:rsidP="003F582C">
      <w:pPr>
        <w:jc w:val="both"/>
        <w:rPr>
          <w:rFonts w:ascii="Arial" w:hAnsi="Arial" w:cs="Arial"/>
          <w:sz w:val="24"/>
          <w:szCs w:val="24"/>
        </w:rPr>
      </w:pPr>
      <w:r w:rsidRPr="00CC1C9F">
        <w:rPr>
          <w:rFonts w:ascii="Arial" w:hAnsi="Arial" w:cs="Arial"/>
          <w:sz w:val="24"/>
          <w:szCs w:val="24"/>
        </w:rPr>
        <w:t>Petrópolis, XX de XXXXXXXXX de 2014.</w:t>
      </w:r>
    </w:p>
    <w:p w:rsidR="003F582C" w:rsidRPr="007D3E8B" w:rsidRDefault="003F582C" w:rsidP="003F582C">
      <w:pPr>
        <w:jc w:val="both"/>
        <w:rPr>
          <w:rFonts w:ascii="Arial" w:hAnsi="Arial" w:cs="Arial"/>
        </w:rPr>
      </w:pPr>
      <w:r>
        <w:cr/>
      </w:r>
      <w:bookmarkStart w:id="0" w:name="_GoBack"/>
      <w:bookmarkEnd w:id="0"/>
    </w:p>
    <w:p w:rsidR="003F582C" w:rsidRDefault="003F582C" w:rsidP="003F582C">
      <w:pPr>
        <w:jc w:val="both"/>
      </w:pPr>
    </w:p>
    <w:p w:rsidR="002D3359" w:rsidRDefault="00A10A62"/>
    <w:sectPr w:rsidR="002D3359" w:rsidSect="00620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82C"/>
    <w:rsid w:val="002E21BC"/>
    <w:rsid w:val="003F582C"/>
    <w:rsid w:val="0077172B"/>
    <w:rsid w:val="008474AF"/>
    <w:rsid w:val="00A10A62"/>
    <w:rsid w:val="00A3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2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F5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5708</Characters>
  <Application>Microsoft Office Word</Application>
  <DocSecurity>0</DocSecurity>
  <Lines>47</Lines>
  <Paragraphs>13</Paragraphs>
  <ScaleCrop>false</ScaleCrop>
  <Company>PMP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Orçamento</dc:creator>
  <cp:keywords/>
  <dc:description/>
  <cp:lastModifiedBy>Renato Araújo Silva</cp:lastModifiedBy>
  <cp:revision>2</cp:revision>
  <dcterms:created xsi:type="dcterms:W3CDTF">2014-09-23T16:44:00Z</dcterms:created>
  <dcterms:modified xsi:type="dcterms:W3CDTF">2014-09-23T16:44:00Z</dcterms:modified>
</cp:coreProperties>
</file>