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2C" w:rsidRPr="00CC1C9F" w:rsidRDefault="003F582C" w:rsidP="003F582C">
      <w:pPr>
        <w:ind w:left="4253"/>
        <w:jc w:val="both"/>
        <w:rPr>
          <w:rFonts w:ascii="Arial" w:hAnsi="Arial" w:cs="Arial"/>
          <w:b/>
          <w:sz w:val="24"/>
          <w:szCs w:val="24"/>
        </w:rPr>
      </w:pPr>
      <w:r w:rsidRPr="00CC1C9F">
        <w:rPr>
          <w:rFonts w:ascii="Arial" w:hAnsi="Arial" w:cs="Arial"/>
          <w:b/>
          <w:sz w:val="24"/>
          <w:szCs w:val="24"/>
        </w:rPr>
        <w:t>O PREFEITO MUNICIPAL DE PETRÓPOLIS, no uso da</w:t>
      </w:r>
      <w:r>
        <w:rPr>
          <w:rFonts w:ascii="Arial" w:hAnsi="Arial" w:cs="Arial"/>
          <w:b/>
          <w:sz w:val="24"/>
          <w:szCs w:val="24"/>
        </w:rPr>
        <w:t>s</w:t>
      </w:r>
      <w:r w:rsidRPr="00CC1C9F">
        <w:rPr>
          <w:rFonts w:ascii="Arial" w:hAnsi="Arial" w:cs="Arial"/>
          <w:b/>
          <w:sz w:val="24"/>
          <w:szCs w:val="24"/>
        </w:rPr>
        <w:t xml:space="preserve"> atribuiç</w:t>
      </w:r>
      <w:r>
        <w:rPr>
          <w:rFonts w:ascii="Arial" w:hAnsi="Arial" w:cs="Arial"/>
          <w:b/>
          <w:sz w:val="24"/>
          <w:szCs w:val="24"/>
        </w:rPr>
        <w:t>ões legais</w:t>
      </w:r>
      <w:r w:rsidRPr="00CC1C9F">
        <w:rPr>
          <w:rFonts w:ascii="Arial" w:hAnsi="Arial" w:cs="Arial"/>
          <w:b/>
          <w:sz w:val="24"/>
          <w:szCs w:val="24"/>
        </w:rPr>
        <w:t xml:space="preserve"> e</w:t>
      </w:r>
      <w:r>
        <w:rPr>
          <w:rFonts w:ascii="Arial" w:hAnsi="Arial" w:cs="Arial"/>
          <w:b/>
          <w:sz w:val="24"/>
          <w:szCs w:val="24"/>
        </w:rPr>
        <w:t>,</w:t>
      </w:r>
      <w:r w:rsidRPr="00CC1C9F">
        <w:rPr>
          <w:rFonts w:ascii="Arial" w:hAnsi="Arial" w:cs="Arial"/>
          <w:b/>
          <w:sz w:val="24"/>
          <w:szCs w:val="24"/>
        </w:rPr>
        <w:t xml:space="preserve"> tendo em vista o disposto no Art. 6º da Lei nº </w:t>
      </w:r>
      <w:r>
        <w:rPr>
          <w:rFonts w:ascii="Arial" w:hAnsi="Arial" w:cs="Arial"/>
          <w:b/>
          <w:sz w:val="24"/>
          <w:szCs w:val="24"/>
        </w:rPr>
        <w:t xml:space="preserve">7167 </w:t>
      </w:r>
      <w:r w:rsidRPr="00CC1C9F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28</w:t>
      </w:r>
      <w:r w:rsidRPr="00CC1C9F">
        <w:rPr>
          <w:rFonts w:ascii="Arial" w:hAnsi="Arial" w:cs="Arial"/>
          <w:b/>
          <w:sz w:val="24"/>
          <w:szCs w:val="24"/>
        </w:rPr>
        <w:t xml:space="preserve"> de março de 2014</w:t>
      </w:r>
    </w:p>
    <w:p w:rsidR="003F582C" w:rsidRPr="00CC1C9F" w:rsidRDefault="003F582C" w:rsidP="003F582C">
      <w:pPr>
        <w:ind w:left="4253"/>
        <w:jc w:val="both"/>
        <w:rPr>
          <w:rFonts w:ascii="Arial" w:hAnsi="Arial" w:cs="Arial"/>
          <w:b/>
          <w:sz w:val="24"/>
          <w:szCs w:val="24"/>
        </w:rPr>
      </w:pPr>
    </w:p>
    <w:p w:rsidR="003F582C" w:rsidRPr="00CC1C9F" w:rsidRDefault="003F582C" w:rsidP="003F582C">
      <w:pPr>
        <w:jc w:val="center"/>
        <w:rPr>
          <w:rFonts w:ascii="Arial" w:hAnsi="Arial" w:cs="Arial"/>
          <w:b/>
          <w:sz w:val="24"/>
          <w:szCs w:val="24"/>
        </w:rPr>
      </w:pPr>
      <w:r w:rsidRPr="00CC1C9F">
        <w:rPr>
          <w:rFonts w:ascii="Arial" w:hAnsi="Arial" w:cs="Arial"/>
          <w:b/>
          <w:sz w:val="24"/>
          <w:szCs w:val="24"/>
        </w:rPr>
        <w:t>DECRETA</w:t>
      </w:r>
    </w:p>
    <w:p w:rsidR="003F582C" w:rsidRPr="00CC1C9F" w:rsidRDefault="003F582C" w:rsidP="003F582C">
      <w:pPr>
        <w:jc w:val="center"/>
        <w:rPr>
          <w:rFonts w:ascii="Arial" w:hAnsi="Arial" w:cs="Arial"/>
          <w:b/>
          <w:sz w:val="24"/>
          <w:szCs w:val="24"/>
        </w:rPr>
      </w:pP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Art. 1º Fica instituído, no âmbito da Secretaria de Planejamento e Desenvolvimento econômico – SPDE, o Banco de Dados Gerenciais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– BDGG,   com os seguintes objetivos: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I - promover o adequado ordenamento na geração, no armazenamento, no acesso, no compartilhamento, na disseminação e no uso dos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municipais, distrital, setorial e por unidade operacional de ponta, em apoio às atividades de planejamento, acompanhamento e controle da gestão municipal;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II - promover a utilização e a produção dos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pelos órgãos setoriais e da administração indireta, bem como das concessionárias de serviços e demais órgãos Federais e Estaduais atuantes no território municipal;  e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III - evitar a duplicidade de ações e o desperdício de recursos na obtenção de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pelos órgãos da administração pública, em geral, e das concessionárias de serviços, por meio da divulgação e acesso ao BDGG, mediante acordos específicos.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§ 1º Para o </w:t>
      </w:r>
      <w:proofErr w:type="spellStart"/>
      <w:r w:rsidRPr="00CC1C9F">
        <w:rPr>
          <w:rFonts w:ascii="Arial" w:hAnsi="Arial" w:cs="Arial"/>
          <w:sz w:val="24"/>
          <w:szCs w:val="24"/>
        </w:rPr>
        <w:t>atingimento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dos objetivos dispostos neste artigo, será implantado, no âmbito da SPDE um Núcleo Gestor, responsável pela sua administração, alimentação e atualização permanente, bem como pela elaboração de um Regimento Interno que orientará a participação dos diversos órgãos e setores que o integrarão.</w:t>
      </w:r>
    </w:p>
    <w:p w:rsidR="003F582C" w:rsidRPr="00CC1C9F" w:rsidRDefault="003F582C" w:rsidP="003F582C">
      <w:pPr>
        <w:pStyle w:val="NormalWeb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rStyle w:val="apple-converted-space"/>
          <w:rFonts w:ascii="Arial" w:hAnsi="Arial" w:cs="Arial"/>
        </w:rPr>
      </w:pP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>Art. 2º Para os fins deste Decreto, entende-se por: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 I - </w:t>
      </w:r>
      <w:r w:rsidRPr="00CC1C9F">
        <w:rPr>
          <w:rFonts w:ascii="Arial" w:hAnsi="Arial" w:cs="Arial"/>
          <w:sz w:val="24"/>
          <w:szCs w:val="24"/>
          <w:u w:val="single"/>
        </w:rPr>
        <w:t xml:space="preserve">dado ou informação </w:t>
      </w:r>
      <w:proofErr w:type="spellStart"/>
      <w:r w:rsidRPr="00CC1C9F">
        <w:rPr>
          <w:rFonts w:ascii="Arial" w:hAnsi="Arial" w:cs="Arial"/>
          <w:sz w:val="24"/>
          <w:szCs w:val="24"/>
          <w:u w:val="single"/>
        </w:rPr>
        <w:t>geoereferenciadas</w:t>
      </w:r>
      <w:proofErr w:type="spellEnd"/>
      <w:r w:rsidRPr="00CC1C9F">
        <w:rPr>
          <w:rFonts w:ascii="Arial" w:hAnsi="Arial" w:cs="Arial"/>
          <w:sz w:val="24"/>
          <w:szCs w:val="24"/>
        </w:rPr>
        <w:t>: aqueles que se distinguem essencialmente pela articulação de dados e informações com o componente espacial associado, observado um mesmo sistema geodésico de referência, sobre plantas ou imagens em escala e precisão adequadas;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II - </w:t>
      </w:r>
      <w:r w:rsidRPr="00CC1C9F">
        <w:rPr>
          <w:rFonts w:ascii="Arial" w:hAnsi="Arial" w:cs="Arial"/>
          <w:sz w:val="24"/>
          <w:szCs w:val="24"/>
          <w:u w:val="single"/>
        </w:rPr>
        <w:t>Infra-Estrutura</w:t>
      </w:r>
      <w:r w:rsidRPr="00CC1C9F">
        <w:rPr>
          <w:rFonts w:ascii="Arial" w:hAnsi="Arial" w:cs="Arial"/>
          <w:sz w:val="24"/>
          <w:szCs w:val="24"/>
        </w:rPr>
        <w:t xml:space="preserve">: conjunto integrado de tecnologias; políticas; mecanismos e procedimentos de coordenação e monitoramento; padrões e acordos, necessário para facilitar e ordenar a geração, o armazenamento, o acesso, o compartilhamento, a disseminação e o uso dos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selecionados;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lastRenderedPageBreak/>
        <w:t xml:space="preserve">IV – </w:t>
      </w:r>
      <w:r w:rsidRPr="00CC1C9F">
        <w:rPr>
          <w:rFonts w:ascii="Arial" w:hAnsi="Arial" w:cs="Arial"/>
          <w:sz w:val="24"/>
          <w:szCs w:val="24"/>
          <w:u w:val="single"/>
        </w:rPr>
        <w:t>Integrantes</w:t>
      </w:r>
      <w:r w:rsidRPr="00CC1C9F">
        <w:rPr>
          <w:rFonts w:ascii="Arial" w:hAnsi="Arial" w:cs="Arial"/>
          <w:sz w:val="24"/>
          <w:szCs w:val="24"/>
        </w:rPr>
        <w:t xml:space="preserve">: sistema de servidores de dados, capaz de reunir eletronicamente produtores, gestores e usuários de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, com vistas ao armazenamento, compartilhamento e acesso a esses dados e aos serviços relacionados. </w:t>
      </w:r>
      <w:r w:rsidRPr="00CC1C9F">
        <w:rPr>
          <w:rFonts w:ascii="Arial" w:hAnsi="Arial" w:cs="Arial"/>
          <w:sz w:val="24"/>
          <w:szCs w:val="24"/>
        </w:rPr>
        <w:cr/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§ 1º Os dados estatísticos do IBGE podem, a critério do Núcleo Gestor, serem considerados como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, desde que estejam de acordo com a definição do inciso I do caput.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§ 2º Serão considerados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oficiais, passiveis de serem introduzidos no BDGG,  aqueles homologados pelo Núcleo Gestor, por iniciativa própria ou por acatamento de sugestão  dos demais Integrantes, conforme definição do inciso I do caput.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Art. 3º O compartilhamento e disseminação dos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é obrigatório para todos os órgãos e entidades do Poder Executivo Municipal e da Administração Indireta Municipal e voluntário para os órgãos e entidades dos demais Integrantes públicos ou privados.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§ 1º Os dados </w:t>
      </w:r>
      <w:proofErr w:type="spellStart"/>
      <w:r w:rsidRPr="00CC1C9F">
        <w:rPr>
          <w:rFonts w:ascii="Arial" w:hAnsi="Arial" w:cs="Arial"/>
          <w:sz w:val="24"/>
          <w:szCs w:val="24"/>
        </w:rPr>
        <w:t>georefrenciados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disponibilizados no BDGG pelos órgãos e entidades Integrantes devem ser acessados, por meio de intranet ou web, conforme as possibilidades logísticas e espaciais.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>Art. 4º Os órgãos e entidades do Poder Executivo Municipal deverão: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 I - na produção, direta ou indireta, ou na aquisição dos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, obedecer aos padrões estabelecidos no Regimento Interno do BDGG; e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II - consultar o Núcleo Gestor antes de iniciar a execução de novos projetos para a produção de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, visando a eliminar a duplicidade de esforços e recursos.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Art. 5º Compete ao Núcleo Gestor: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I – em articulação com a Secretaria de Ciência e Tecnologia, construir, disponibilizar e operar o BDGG, em conformidade com o seu plano de implantação, a ser elaborado num prazo de 120 dias, a partir da publicação do presente Decreto;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II - exercer a função de gestor do BDGG, buscando incorporar-lhe novas funcionalidades, de acordo com entendimentos com os demais Integrantes;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>III - divulgar os procedimentos para acesso eletrônico aos repositórios de dados e para utilização dos serviços correspondentes;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IV - observar eventuais restrições impostas à publicação e acesso aos dados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georeferenciados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definidas pelos órgãos produtores, segundo o critério de alçadas;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VI - apresentar as propostas dos recursos materiais, humanos e financeiros necessários para a implantação e manutenção anual do BDGG.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lastRenderedPageBreak/>
        <w:t>Art. 6º Para administração estratégica do BDGG, será criado um Conselho de Administração, com as seguintes atribuições: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 I - estabelecer os procedimentos para a avaliação dos novos projetos de que trata o inciso II do art. 4º;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>II - homologar os padrões para alimentação e operação do BDGG e as suas normas cartográficas ou de imagens;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>III - propor o desenvolvimento de soluções em código aberto e de livre distribuição para atender às demandas do ambiente de servidores distribuídos em rede, utilizando o conhecimento existente, segundo um critério de alçadas, em segmentos especializados da sociedade, como universidades, centros de pesquisas do Município, empresas concessionárias,</w:t>
      </w:r>
      <w:proofErr w:type="gramStart"/>
      <w:r w:rsidRPr="00CC1C9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C1C9F">
        <w:rPr>
          <w:rFonts w:ascii="Arial" w:hAnsi="Arial" w:cs="Arial"/>
          <w:sz w:val="24"/>
          <w:szCs w:val="24"/>
        </w:rPr>
        <w:t xml:space="preserve">estatais ou privadas, e organizações profissionais;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IV - supervisionar a implantação do BDGG de acordo com o plano de ação para implantação, de que trata os incisos I e VI do Art. 5º;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V – acompanhar as atividades desempenhadas pelo BDGG,  previstas, no art. 5º; e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VI – O Plano de Implantação, mencionado no Art. 5º, inciso I, para atender ao estabelecido neste Decreto, deverá atender, entre outros, aos seguintes aspectos: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a) cronograma físico e financeiro de implantação das estruturas física e virtual do BDGG;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>b) prazo para a Conselho de Administração Estratégica aprovar o Plano de Implantação;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c) prazo para os órgãos e entidades do Poder Executivo Municipal disponibilizarem dados e informações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georeferenciadas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 para o BDGG e para o respectivo armazenamento, no servidor do sistema de sua responsabilidade; 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d) prazo para início da divulgação dos dados e informações </w:t>
      </w:r>
      <w:proofErr w:type="spellStart"/>
      <w:r w:rsidRPr="00CC1C9F">
        <w:rPr>
          <w:rFonts w:ascii="Arial" w:hAnsi="Arial" w:cs="Arial"/>
          <w:sz w:val="24"/>
          <w:szCs w:val="24"/>
        </w:rPr>
        <w:t>georeferenciadas</w:t>
      </w:r>
      <w:proofErr w:type="spellEnd"/>
      <w:r w:rsidRPr="00CC1C9F">
        <w:rPr>
          <w:rFonts w:ascii="Arial" w:hAnsi="Arial" w:cs="Arial"/>
          <w:sz w:val="24"/>
          <w:szCs w:val="24"/>
        </w:rPr>
        <w:t xml:space="preserve">, na intranet e na web; 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>e) regras para disponibilização na web, dos dados e informações públicas;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>f) recursos financeiros necessários para a implantação do BDGG, incluindo as necessidades capacitação de recursos humanos e promoção de parcerias.</w:t>
      </w:r>
    </w:p>
    <w:p w:rsidR="003F582C" w:rsidRPr="00CC1C9F" w:rsidRDefault="003F582C" w:rsidP="003F582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§ 1º - O Conselho de Administração terá a seguinte composição: </w:t>
      </w:r>
      <w:r w:rsidRPr="00CC1C9F">
        <w:rPr>
          <w:rFonts w:ascii="Arial" w:hAnsi="Arial" w:cs="Arial"/>
          <w:color w:val="FF0000"/>
          <w:sz w:val="24"/>
          <w:szCs w:val="24"/>
        </w:rPr>
        <w:t>definir com o Secretário.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 xml:space="preserve">Art. 7º Caberá à Secretaria de Planejamento e Desenvolvimento Econômico promover, junto às concessionárias, órgãos da administração indireta e de outros níveis de governo, as ações voltadas à celebração de acordos e cooperações, visando </w:t>
      </w:r>
      <w:proofErr w:type="gramStart"/>
      <w:r w:rsidRPr="00CC1C9F">
        <w:rPr>
          <w:rFonts w:ascii="Arial" w:hAnsi="Arial" w:cs="Arial"/>
          <w:sz w:val="24"/>
          <w:szCs w:val="24"/>
        </w:rPr>
        <w:t>a</w:t>
      </w:r>
      <w:proofErr w:type="gramEnd"/>
      <w:r w:rsidRPr="00CC1C9F">
        <w:rPr>
          <w:rFonts w:ascii="Arial" w:hAnsi="Arial" w:cs="Arial"/>
          <w:sz w:val="24"/>
          <w:szCs w:val="24"/>
        </w:rPr>
        <w:t xml:space="preserve"> participação como Integrantes do BDGG. </w:t>
      </w:r>
    </w:p>
    <w:p w:rsidR="003F582C" w:rsidRDefault="003F582C" w:rsidP="003F58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lastRenderedPageBreak/>
        <w:t>Art. 8º Este Decreto entra em vigor na data de sua publicação.</w:t>
      </w: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</w:p>
    <w:p w:rsidR="003F582C" w:rsidRPr="00CC1C9F" w:rsidRDefault="003F582C" w:rsidP="003F582C">
      <w:pPr>
        <w:jc w:val="both"/>
        <w:rPr>
          <w:rFonts w:ascii="Arial" w:hAnsi="Arial" w:cs="Arial"/>
          <w:sz w:val="24"/>
          <w:szCs w:val="24"/>
        </w:rPr>
      </w:pPr>
      <w:r w:rsidRPr="00CC1C9F">
        <w:rPr>
          <w:rFonts w:ascii="Arial" w:hAnsi="Arial" w:cs="Arial"/>
          <w:sz w:val="24"/>
          <w:szCs w:val="24"/>
        </w:rPr>
        <w:t>Petrópolis, XX de XXXXXXXXX de 2014.</w:t>
      </w:r>
    </w:p>
    <w:p w:rsidR="003F582C" w:rsidRPr="007D3E8B" w:rsidRDefault="003F582C" w:rsidP="003F582C">
      <w:pPr>
        <w:jc w:val="both"/>
        <w:rPr>
          <w:rFonts w:ascii="Arial" w:hAnsi="Arial" w:cs="Arial"/>
        </w:rPr>
      </w:pPr>
      <w:r>
        <w:cr/>
      </w:r>
      <w:bookmarkStart w:id="0" w:name="_GoBack"/>
      <w:bookmarkEnd w:id="0"/>
    </w:p>
    <w:p w:rsidR="003F582C" w:rsidRDefault="003F582C" w:rsidP="003F582C">
      <w:pPr>
        <w:jc w:val="both"/>
      </w:pPr>
    </w:p>
    <w:p w:rsidR="002D3359" w:rsidRDefault="00A10A62"/>
    <w:sectPr w:rsidR="002D3359" w:rsidSect="00620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82C"/>
    <w:rsid w:val="002E21BC"/>
    <w:rsid w:val="003F582C"/>
    <w:rsid w:val="0077172B"/>
    <w:rsid w:val="008474AF"/>
    <w:rsid w:val="00A10A62"/>
    <w:rsid w:val="00A3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82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F5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5708</Characters>
  <Application>Microsoft Office Word</Application>
  <DocSecurity>0</DocSecurity>
  <Lines>47</Lines>
  <Paragraphs>13</Paragraphs>
  <ScaleCrop>false</ScaleCrop>
  <Company>PMP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Orçamento</dc:creator>
  <cp:keywords/>
  <dc:description/>
  <cp:lastModifiedBy>Renato Araújo Silva</cp:lastModifiedBy>
  <cp:revision>2</cp:revision>
  <dcterms:created xsi:type="dcterms:W3CDTF">2014-09-23T16:44:00Z</dcterms:created>
  <dcterms:modified xsi:type="dcterms:W3CDTF">2014-09-23T16:44:00Z</dcterms:modified>
</cp:coreProperties>
</file>